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8B4" w:rsidRPr="00BC21F6" w:rsidRDefault="00F968B4" w:rsidP="00F968B4">
      <w:pPr>
        <w:adjustRightInd w:val="0"/>
        <w:snapToGrid w:val="0"/>
        <w:spacing w:line="360" w:lineRule="auto"/>
        <w:rPr>
          <w:rFonts w:ascii="Arial" w:hAnsi="Arial" w:cs="Arial"/>
          <w:b/>
          <w:bCs/>
          <w:snapToGrid w:val="0"/>
          <w:sz w:val="24"/>
          <w:lang w:eastAsia="ko-KR"/>
        </w:rPr>
      </w:pPr>
      <w:r w:rsidRPr="00BC21F6">
        <w:rPr>
          <w:rFonts w:ascii="Arial" w:hAnsi="Arial" w:cs="Arial"/>
          <w:b/>
          <w:bCs/>
          <w:snapToGrid w:val="0"/>
          <w:sz w:val="24"/>
        </w:rPr>
        <w:t>3GPP TSG RAN WG1 Meeting #82bis</w:t>
      </w:r>
      <w:r w:rsidRPr="00BC21F6">
        <w:rPr>
          <w:rFonts w:ascii="Arial" w:hAnsi="Arial" w:cs="Arial"/>
          <w:b/>
          <w:bCs/>
          <w:snapToGrid w:val="0"/>
          <w:sz w:val="24"/>
        </w:rPr>
        <w:tab/>
      </w:r>
      <w:r w:rsidRPr="00BC21F6">
        <w:rPr>
          <w:rFonts w:ascii="Arial" w:hAnsi="Arial" w:cs="Arial"/>
          <w:b/>
          <w:bCs/>
          <w:snapToGrid w:val="0"/>
          <w:sz w:val="24"/>
        </w:rPr>
        <w:tab/>
        <w:t xml:space="preserve">                 </w:t>
      </w:r>
      <w:r>
        <w:rPr>
          <w:rFonts w:ascii="Arial" w:hAnsi="Arial" w:cs="Arial" w:hint="eastAsia"/>
          <w:b/>
          <w:bCs/>
          <w:snapToGrid w:val="0"/>
          <w:sz w:val="24"/>
        </w:rPr>
        <w:tab/>
      </w:r>
      <w:r>
        <w:rPr>
          <w:rFonts w:ascii="Arial" w:hAnsi="Arial" w:cs="Arial" w:hint="eastAsia"/>
          <w:b/>
          <w:bCs/>
          <w:snapToGrid w:val="0"/>
          <w:sz w:val="24"/>
        </w:rPr>
        <w:tab/>
      </w:r>
      <w:r w:rsidRPr="00BC21F6">
        <w:rPr>
          <w:rFonts w:ascii="Arial" w:hAnsi="Arial" w:cs="Arial"/>
          <w:b/>
          <w:bCs/>
          <w:snapToGrid w:val="0"/>
          <w:sz w:val="24"/>
        </w:rPr>
        <w:t>R1-1553</w:t>
      </w:r>
      <w:r>
        <w:rPr>
          <w:rFonts w:ascii="Arial" w:hAnsi="Arial" w:cs="Arial" w:hint="eastAsia"/>
          <w:b/>
          <w:bCs/>
          <w:snapToGrid w:val="0"/>
          <w:sz w:val="24"/>
          <w:lang w:eastAsia="ko-KR"/>
        </w:rPr>
        <w:t>74</w:t>
      </w:r>
    </w:p>
    <w:p w:rsidR="00F968B4" w:rsidRDefault="00F968B4" w:rsidP="00F968B4">
      <w:pPr>
        <w:adjustRightInd w:val="0"/>
        <w:snapToGrid w:val="0"/>
        <w:spacing w:line="360" w:lineRule="auto"/>
        <w:rPr>
          <w:rFonts w:ascii="Arial" w:hAnsi="Arial" w:cs="Arial" w:hint="eastAsia"/>
          <w:b/>
          <w:bCs/>
          <w:snapToGrid w:val="0"/>
          <w:sz w:val="24"/>
        </w:rPr>
      </w:pPr>
      <w:r w:rsidRPr="00BC21F6">
        <w:rPr>
          <w:rFonts w:ascii="Arial" w:hAnsi="Arial" w:cs="Arial"/>
          <w:b/>
          <w:bCs/>
          <w:snapToGrid w:val="0"/>
          <w:sz w:val="24"/>
        </w:rPr>
        <w:t>Malmö, Sweden, 5th - 9th October 2015</w:t>
      </w:r>
    </w:p>
    <w:p w:rsidR="000C7533" w:rsidRPr="00F968B4" w:rsidRDefault="000C7533" w:rsidP="000C7533">
      <w:pPr>
        <w:pStyle w:val="TdocHeader2"/>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76492C">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w:t>
      </w:r>
      <w:r w:rsidR="00F968B4">
        <w:rPr>
          <w:rFonts w:ascii="Times New Roman" w:eastAsia="맑은 고딕" w:hAnsi="Times New Roman" w:cs="Times New Roman" w:hint="eastAsia"/>
          <w:bCs w:val="0"/>
          <w:sz w:val="22"/>
          <w:szCs w:val="22"/>
          <w:lang w:eastAsia="ko-KR"/>
        </w:rPr>
        <w:t>8</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2107FF"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315930" w:rsidRPr="00315930">
        <w:rPr>
          <w:rFonts w:ascii="Times New Roman" w:hAnsi="Times New Roman"/>
          <w:bCs w:val="0"/>
          <w:sz w:val="22"/>
          <w:szCs w:val="22"/>
          <w:lang w:eastAsia="ko-KR"/>
        </w:rPr>
        <w:t xml:space="preserve">Further discussion on </w:t>
      </w:r>
      <w:r w:rsidR="00F968B4">
        <w:rPr>
          <w:rFonts w:ascii="Times New Roman" w:hAnsi="Times New Roman" w:hint="eastAsia"/>
          <w:bCs w:val="0"/>
          <w:sz w:val="22"/>
          <w:szCs w:val="22"/>
          <w:lang w:eastAsia="ko-KR"/>
        </w:rPr>
        <w:t>p</w:t>
      </w:r>
      <w:r w:rsidR="00315930" w:rsidRPr="00315930">
        <w:rPr>
          <w:rFonts w:ascii="Times New Roman" w:hAnsi="Times New Roman"/>
          <w:bCs w:val="0"/>
          <w:sz w:val="22"/>
          <w:szCs w:val="22"/>
          <w:lang w:eastAsia="ko-KR"/>
        </w:rPr>
        <w:t xml:space="preserve">aging </w:t>
      </w:r>
      <w:r w:rsidR="00F968B4">
        <w:rPr>
          <w:rFonts w:ascii="Times New Roman" w:hAnsi="Times New Roman" w:hint="eastAsia"/>
          <w:bCs w:val="0"/>
          <w:sz w:val="22"/>
          <w:szCs w:val="22"/>
          <w:lang w:eastAsia="ko-KR"/>
        </w:rPr>
        <w:t>m</w:t>
      </w:r>
      <w:r w:rsidR="00315930" w:rsidRPr="00315930">
        <w:rPr>
          <w:rFonts w:ascii="Times New Roman" w:hAnsi="Times New Roman"/>
          <w:bCs w:val="0"/>
          <w:sz w:val="22"/>
          <w:szCs w:val="22"/>
          <w:lang w:eastAsia="ko-KR"/>
        </w:rPr>
        <w:t>essages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2107FF">
      <w:pPr>
        <w:pStyle w:val="1"/>
        <w:rPr>
          <w:lang w:eastAsia="ko-KR"/>
        </w:rPr>
      </w:pPr>
      <w:r w:rsidRPr="002107FF">
        <w:rPr>
          <w:rFonts w:hint="eastAsia"/>
        </w:rPr>
        <w:t>Introduction</w:t>
      </w:r>
    </w:p>
    <w:p w:rsidR="00DA5026" w:rsidRPr="00DA5026" w:rsidRDefault="00DA5026" w:rsidP="00DA5026">
      <w:pPr>
        <w:rPr>
          <w:lang w:eastAsia="ko-KR"/>
        </w:rPr>
      </w:pPr>
      <w:r>
        <w:rPr>
          <w:rFonts w:hint="eastAsia"/>
          <w:lang w:eastAsia="ko-KR"/>
        </w:rPr>
        <w:t>In RAN1#8</w:t>
      </w:r>
      <w:r w:rsidR="001A5E4C">
        <w:rPr>
          <w:rFonts w:hint="eastAsia"/>
          <w:lang w:eastAsia="ko-KR"/>
        </w:rPr>
        <w:t>2</w:t>
      </w:r>
      <w:r w:rsidR="001C48B1">
        <w:rPr>
          <w:rFonts w:hint="eastAsia"/>
          <w:lang w:eastAsia="ko-KR"/>
        </w:rPr>
        <w:t xml:space="preserve"> [1]</w:t>
      </w:r>
      <w:r>
        <w:rPr>
          <w:rFonts w:hint="eastAsia"/>
          <w:lang w:eastAsia="ko-KR"/>
        </w:rPr>
        <w:t xml:space="preserve">, the following is agreed related to </w:t>
      </w:r>
      <w:r w:rsidR="003529AF">
        <w:rPr>
          <w:rFonts w:hint="eastAsia"/>
          <w:lang w:eastAsia="ko-KR"/>
        </w:rPr>
        <w:t>paging transmission</w:t>
      </w:r>
      <w:r>
        <w:rPr>
          <w:rFonts w:hint="eastAsia"/>
          <w:lang w:eastAsia="ko-KR"/>
        </w:rPr>
        <w:t xml:space="preserve">. </w:t>
      </w:r>
    </w:p>
    <w:p w:rsidR="00135F32" w:rsidRDefault="00135F32" w:rsidP="00135F32">
      <w:pPr>
        <w:rPr>
          <w:lang w:val="en-US" w:eastAsia="ko-KR"/>
        </w:rPr>
      </w:pPr>
    </w:p>
    <w:p w:rsidR="00F23F4D" w:rsidRPr="009304A8" w:rsidRDefault="00F23F4D" w:rsidP="00F23F4D">
      <w:pPr>
        <w:rPr>
          <w:rFonts w:eastAsia="MS Mincho"/>
          <w:b/>
          <w:szCs w:val="20"/>
          <w:u w:val="single"/>
          <w:lang w:val="en-US" w:eastAsia="ja-JP"/>
        </w:rPr>
      </w:pPr>
      <w:r w:rsidRPr="00DF16D7">
        <w:rPr>
          <w:rFonts w:eastAsia="MS Mincho" w:hint="eastAsia"/>
          <w:b/>
          <w:szCs w:val="20"/>
          <w:highlight w:val="green"/>
          <w:u w:val="single"/>
          <w:lang w:val="en-US" w:eastAsia="ja-JP"/>
        </w:rPr>
        <w:t>Agreements:</w:t>
      </w:r>
    </w:p>
    <w:p w:rsidR="00F23F4D" w:rsidRDefault="00F23F4D" w:rsidP="00F23F4D">
      <w:pPr>
        <w:numPr>
          <w:ilvl w:val="0"/>
          <w:numId w:val="33"/>
        </w:numPr>
        <w:rPr>
          <w:rFonts w:eastAsia="MS Mincho"/>
          <w:szCs w:val="20"/>
          <w:lang w:val="en-US" w:eastAsia="ja-JP"/>
        </w:rPr>
      </w:pPr>
      <w:r w:rsidRPr="00C72643">
        <w:rPr>
          <w:rFonts w:eastAsia="MS Mincho"/>
          <w:szCs w:val="20"/>
          <w:lang w:val="en-US" w:eastAsia="ja-JP"/>
        </w:rPr>
        <w:t>Confirm the working assumption to use M-PDCCH scheduled PDSCH carrying paging</w:t>
      </w:r>
      <w:r>
        <w:rPr>
          <w:rFonts w:eastAsia="MS Mincho" w:hint="eastAsia"/>
          <w:szCs w:val="20"/>
          <w:lang w:val="en-US" w:eastAsia="ja-JP"/>
        </w:rPr>
        <w:t xml:space="preserve"> record(s)</w:t>
      </w:r>
    </w:p>
    <w:p w:rsidR="00F23F4D" w:rsidRPr="00C72643" w:rsidRDefault="00F23F4D" w:rsidP="00F23F4D">
      <w:pPr>
        <w:numPr>
          <w:ilvl w:val="0"/>
          <w:numId w:val="33"/>
        </w:numPr>
        <w:rPr>
          <w:rFonts w:eastAsia="MS Mincho"/>
          <w:szCs w:val="20"/>
          <w:lang w:val="en-US" w:eastAsia="ja-JP"/>
        </w:rPr>
      </w:pPr>
      <w:r w:rsidRPr="00C72643">
        <w:rPr>
          <w:rFonts w:eastAsia="MS Mincho"/>
          <w:szCs w:val="20"/>
          <w:lang w:val="en-US" w:eastAsia="ja-JP"/>
        </w:rPr>
        <w:t>One or more narrowbands can be configured by eNB for paging</w:t>
      </w:r>
    </w:p>
    <w:p w:rsidR="00F23F4D" w:rsidRPr="00C72643" w:rsidRDefault="00F23F4D" w:rsidP="00F23F4D">
      <w:pPr>
        <w:numPr>
          <w:ilvl w:val="1"/>
          <w:numId w:val="33"/>
        </w:numPr>
        <w:rPr>
          <w:rFonts w:eastAsia="MS Mincho"/>
          <w:szCs w:val="20"/>
          <w:lang w:val="en-US" w:eastAsia="ja-JP"/>
        </w:rPr>
      </w:pPr>
      <w:r>
        <w:rPr>
          <w:rFonts w:eastAsia="MS Mincho" w:hint="eastAsia"/>
          <w:szCs w:val="20"/>
          <w:lang w:val="en-US" w:eastAsia="ja-JP"/>
        </w:rPr>
        <w:t>A UE monitors a p</w:t>
      </w:r>
      <w:r>
        <w:rPr>
          <w:rFonts w:eastAsia="MS Mincho"/>
          <w:szCs w:val="20"/>
          <w:lang w:val="en-US" w:eastAsia="ja-JP"/>
        </w:rPr>
        <w:t>aging occasion</w:t>
      </w:r>
      <w:r w:rsidRPr="00C72643">
        <w:rPr>
          <w:rFonts w:eastAsia="MS Mincho"/>
          <w:szCs w:val="20"/>
          <w:lang w:val="en-US" w:eastAsia="ja-JP"/>
        </w:rPr>
        <w:t xml:space="preserve"> </w:t>
      </w:r>
      <w:r>
        <w:rPr>
          <w:rFonts w:eastAsia="MS Mincho" w:hint="eastAsia"/>
          <w:szCs w:val="20"/>
          <w:lang w:val="en-US" w:eastAsia="ja-JP"/>
        </w:rPr>
        <w:t>in one of the configured narrowbands in the subframe based on at least UE ID at least for paging record(s)</w:t>
      </w:r>
    </w:p>
    <w:p w:rsidR="00F23F4D" w:rsidRPr="00C72643" w:rsidRDefault="00F23F4D" w:rsidP="00F23F4D">
      <w:pPr>
        <w:numPr>
          <w:ilvl w:val="0"/>
          <w:numId w:val="33"/>
        </w:numPr>
        <w:rPr>
          <w:rFonts w:eastAsia="MS Mincho"/>
          <w:szCs w:val="20"/>
          <w:lang w:val="en-US" w:eastAsia="ja-JP"/>
        </w:rPr>
      </w:pPr>
      <w:r w:rsidRPr="00C72643">
        <w:rPr>
          <w:rFonts w:eastAsia="MS Mincho"/>
          <w:szCs w:val="20"/>
          <w:lang w:val="en-US" w:eastAsia="ja-JP"/>
        </w:rPr>
        <w:t>On indicators for system information update, ETWS, and CMAS:</w:t>
      </w:r>
    </w:p>
    <w:p w:rsidR="00F23F4D" w:rsidRPr="00C72643" w:rsidRDefault="00F23F4D" w:rsidP="00F23F4D">
      <w:pPr>
        <w:numPr>
          <w:ilvl w:val="1"/>
          <w:numId w:val="33"/>
        </w:numPr>
        <w:rPr>
          <w:rFonts w:eastAsia="MS Mincho"/>
          <w:szCs w:val="20"/>
          <w:lang w:val="en-US" w:eastAsia="ja-JP"/>
        </w:rPr>
      </w:pPr>
      <w:r w:rsidRPr="00C72643">
        <w:rPr>
          <w:rFonts w:eastAsia="MS Mincho"/>
          <w:szCs w:val="20"/>
          <w:lang w:val="en-US" w:eastAsia="ja-JP"/>
        </w:rPr>
        <w:t xml:space="preserve">Option A: Transmit in M-PDCCH </w:t>
      </w:r>
    </w:p>
    <w:p w:rsidR="00F23F4D" w:rsidRPr="00C72643" w:rsidRDefault="00F23F4D" w:rsidP="00F23F4D">
      <w:pPr>
        <w:numPr>
          <w:ilvl w:val="1"/>
          <w:numId w:val="33"/>
        </w:numPr>
        <w:rPr>
          <w:rFonts w:eastAsia="MS Mincho"/>
          <w:szCs w:val="20"/>
          <w:lang w:val="en-US" w:eastAsia="ja-JP"/>
        </w:rPr>
      </w:pPr>
      <w:r w:rsidRPr="00C72643">
        <w:rPr>
          <w:rFonts w:eastAsia="MS Mincho"/>
          <w:szCs w:val="20"/>
          <w:lang w:val="en-US" w:eastAsia="ja-JP"/>
        </w:rPr>
        <w:t xml:space="preserve">Option B: Transmit in PDSCH </w:t>
      </w:r>
    </w:p>
    <w:p w:rsidR="00F23F4D" w:rsidRPr="00C72643" w:rsidRDefault="00F23F4D" w:rsidP="00F23F4D">
      <w:pPr>
        <w:numPr>
          <w:ilvl w:val="1"/>
          <w:numId w:val="33"/>
        </w:numPr>
        <w:rPr>
          <w:rFonts w:eastAsia="MS Mincho"/>
          <w:szCs w:val="20"/>
          <w:lang w:val="en-US" w:eastAsia="ja-JP"/>
        </w:rPr>
      </w:pPr>
      <w:r w:rsidRPr="00C72643">
        <w:rPr>
          <w:rFonts w:eastAsia="MS Mincho"/>
          <w:szCs w:val="20"/>
          <w:lang w:val="en-US" w:eastAsia="ja-JP"/>
        </w:rPr>
        <w:t>FFS if the paging occasion for SI update, ETWS, and/or CMAS is a cell common or not</w:t>
      </w:r>
    </w:p>
    <w:p w:rsidR="00F23F4D" w:rsidRPr="00C72643" w:rsidRDefault="00F23F4D" w:rsidP="00F23F4D">
      <w:pPr>
        <w:numPr>
          <w:ilvl w:val="1"/>
          <w:numId w:val="33"/>
        </w:numPr>
        <w:rPr>
          <w:rFonts w:eastAsia="MS Mincho"/>
          <w:szCs w:val="20"/>
          <w:lang w:val="en-US" w:eastAsia="ja-JP"/>
        </w:rPr>
      </w:pPr>
      <w:r w:rsidRPr="00C72643">
        <w:rPr>
          <w:rFonts w:eastAsia="MS Mincho"/>
          <w:szCs w:val="20"/>
          <w:lang w:val="en-US" w:eastAsia="ja-JP"/>
        </w:rPr>
        <w:t>FFS additional information (e.g. CFI, TDD configuration) in the associated DCI or paging message</w:t>
      </w:r>
    </w:p>
    <w:p w:rsidR="00F23F4D" w:rsidRPr="00C72643" w:rsidRDefault="00F23F4D" w:rsidP="00F23F4D">
      <w:pPr>
        <w:numPr>
          <w:ilvl w:val="0"/>
          <w:numId w:val="33"/>
        </w:numPr>
        <w:rPr>
          <w:rFonts w:eastAsia="MS Mincho"/>
          <w:szCs w:val="20"/>
          <w:lang w:val="en-US" w:eastAsia="ja-JP"/>
        </w:rPr>
      </w:pPr>
      <w:r w:rsidRPr="00C72643">
        <w:rPr>
          <w:rFonts w:eastAsia="MS Mincho"/>
          <w:szCs w:val="20"/>
          <w:lang w:val="en-US" w:eastAsia="ja-JP"/>
        </w:rPr>
        <w:t>The M-PDCCH search space for paging includes M-PDCCH candidate(s) with the highest CE level configured in the cell</w:t>
      </w:r>
    </w:p>
    <w:p w:rsidR="00F23F4D" w:rsidRPr="00C72643" w:rsidRDefault="00F23F4D" w:rsidP="00F23F4D">
      <w:pPr>
        <w:numPr>
          <w:ilvl w:val="1"/>
          <w:numId w:val="33"/>
        </w:numPr>
        <w:rPr>
          <w:rFonts w:eastAsia="MS Mincho"/>
          <w:szCs w:val="20"/>
          <w:lang w:val="en-US" w:eastAsia="ja-JP"/>
        </w:rPr>
      </w:pPr>
      <w:r w:rsidRPr="00C72643">
        <w:rPr>
          <w:rFonts w:eastAsia="MS Mincho"/>
          <w:szCs w:val="20"/>
          <w:lang w:val="en-US" w:eastAsia="ja-JP"/>
        </w:rPr>
        <w:t>Note: the ‘CE level’ can be replaced by a proper terminology later if needed</w:t>
      </w:r>
    </w:p>
    <w:p w:rsidR="00F23F4D" w:rsidRPr="00F23F4D" w:rsidRDefault="00F23F4D" w:rsidP="00135F32">
      <w:pPr>
        <w:rPr>
          <w:lang w:val="en-US" w:eastAsia="ko-KR"/>
        </w:rPr>
      </w:pPr>
    </w:p>
    <w:p w:rsidR="00DA5026" w:rsidRPr="00135F32" w:rsidRDefault="00DA5026" w:rsidP="00135F32">
      <w:pPr>
        <w:rPr>
          <w:lang w:val="en-US" w:eastAsia="ko-KR"/>
        </w:rPr>
      </w:pPr>
      <w:r>
        <w:rPr>
          <w:rFonts w:hint="eastAsia"/>
          <w:lang w:val="en-US" w:eastAsia="ko-KR"/>
        </w:rPr>
        <w:t xml:space="preserve">This contribution discusses further details on </w:t>
      </w:r>
      <w:r w:rsidR="00F23F4D">
        <w:rPr>
          <w:rFonts w:hint="eastAsia"/>
          <w:lang w:val="en-US" w:eastAsia="ko-KR"/>
        </w:rPr>
        <w:t>paging transmission</w:t>
      </w:r>
      <w:r>
        <w:rPr>
          <w:rFonts w:hint="eastAsia"/>
          <w:lang w:val="en-US" w:eastAsia="ko-KR"/>
        </w:rPr>
        <w:t xml:space="preserve">. </w:t>
      </w:r>
    </w:p>
    <w:p w:rsidR="008C2691" w:rsidRDefault="009F1AD4" w:rsidP="008C2691">
      <w:pPr>
        <w:pStyle w:val="1"/>
        <w:rPr>
          <w:rFonts w:eastAsia="맑은 고딕"/>
          <w:kern w:val="2"/>
          <w:lang w:eastAsia="ko-KR"/>
        </w:rPr>
      </w:pPr>
      <w:r>
        <w:rPr>
          <w:rFonts w:eastAsia="맑은 고딕" w:hint="eastAsia"/>
          <w:kern w:val="2"/>
          <w:lang w:eastAsia="ko-KR"/>
        </w:rPr>
        <w:t>Indication of SI update, ETWS, and CMAS</w:t>
      </w:r>
    </w:p>
    <w:p w:rsidR="009F1AD4" w:rsidRPr="009F1AD4" w:rsidRDefault="009F1AD4" w:rsidP="009F1AD4">
      <w:pPr>
        <w:rPr>
          <w:szCs w:val="20"/>
          <w:lang w:eastAsia="ko-KR"/>
        </w:rPr>
      </w:pPr>
      <w:r w:rsidRPr="009F1AD4">
        <w:rPr>
          <w:rFonts w:hint="eastAsia"/>
          <w:szCs w:val="20"/>
          <w:lang w:eastAsia="ko-KR"/>
        </w:rPr>
        <w:t xml:space="preserve">RAN2 made the following agreements. </w:t>
      </w:r>
    </w:p>
    <w:p w:rsidR="009F1AD4" w:rsidRDefault="009F1AD4" w:rsidP="009F1AD4">
      <w:pPr>
        <w:pStyle w:val="af1"/>
        <w:numPr>
          <w:ilvl w:val="0"/>
          <w:numId w:val="32"/>
        </w:numPr>
        <w:rPr>
          <w:sz w:val="20"/>
          <w:lang w:eastAsia="ko-KR"/>
        </w:rPr>
      </w:pPr>
      <w:r w:rsidRPr="009F1AD4">
        <w:rPr>
          <w:sz w:val="20"/>
          <w:lang w:eastAsia="ko-KR"/>
        </w:rPr>
        <w:t>RAN2 assumption, for RAN1 to confirm: It is possible to notify the IDLE UE of a system information update using the control channel (M-PDCCH) while avoid sending a paging record on the shared channel.</w:t>
      </w:r>
    </w:p>
    <w:p w:rsidR="009F1AD4" w:rsidRDefault="009F1AD4" w:rsidP="009F1AD4">
      <w:pPr>
        <w:rPr>
          <w:lang w:eastAsia="ko-KR"/>
        </w:rPr>
      </w:pPr>
      <w:r>
        <w:rPr>
          <w:rFonts w:hint="eastAsia"/>
          <w:lang w:eastAsia="ko-KR"/>
        </w:rPr>
        <w:t xml:space="preserve">RAN1 further </w:t>
      </w:r>
      <w:r>
        <w:rPr>
          <w:lang w:eastAsia="ko-KR"/>
        </w:rPr>
        <w:t>discussed</w:t>
      </w:r>
      <w:r>
        <w:rPr>
          <w:rFonts w:hint="eastAsia"/>
          <w:lang w:eastAsia="ko-KR"/>
        </w:rPr>
        <w:t xml:space="preserve"> and concluded with two options </w:t>
      </w:r>
      <w:r w:rsidR="0098715A">
        <w:rPr>
          <w:rFonts w:hint="eastAsia"/>
          <w:lang w:eastAsia="ko-KR"/>
        </w:rPr>
        <w:t>for SI update, ETWS, and CMAS:</w:t>
      </w:r>
    </w:p>
    <w:p w:rsidR="0098715A" w:rsidRPr="00C72643" w:rsidRDefault="0098715A" w:rsidP="0098715A">
      <w:pPr>
        <w:numPr>
          <w:ilvl w:val="0"/>
          <w:numId w:val="33"/>
        </w:numPr>
        <w:rPr>
          <w:rFonts w:eastAsia="MS Mincho"/>
          <w:szCs w:val="20"/>
          <w:lang w:val="en-US" w:eastAsia="ja-JP"/>
        </w:rPr>
      </w:pPr>
      <w:r w:rsidRPr="00C72643">
        <w:rPr>
          <w:rFonts w:eastAsia="MS Mincho"/>
          <w:szCs w:val="20"/>
          <w:lang w:val="en-US" w:eastAsia="ja-JP"/>
        </w:rPr>
        <w:t xml:space="preserve">Option A: Transmit in M-PDCCH </w:t>
      </w:r>
    </w:p>
    <w:p w:rsidR="0098715A" w:rsidRPr="0098715A" w:rsidRDefault="0098715A" w:rsidP="0098715A">
      <w:pPr>
        <w:numPr>
          <w:ilvl w:val="0"/>
          <w:numId w:val="33"/>
        </w:numPr>
        <w:rPr>
          <w:rFonts w:eastAsia="MS Mincho"/>
          <w:szCs w:val="20"/>
          <w:lang w:val="en-US" w:eastAsia="ja-JP"/>
        </w:rPr>
      </w:pPr>
      <w:r w:rsidRPr="00C72643">
        <w:rPr>
          <w:rFonts w:eastAsia="MS Mincho"/>
          <w:szCs w:val="20"/>
          <w:lang w:val="en-US" w:eastAsia="ja-JP"/>
        </w:rPr>
        <w:t xml:space="preserve">Option B: Transmit in PDSCH </w:t>
      </w:r>
    </w:p>
    <w:p w:rsidR="0098715A" w:rsidRDefault="00E41478" w:rsidP="0098715A">
      <w:pPr>
        <w:rPr>
          <w:rFonts w:eastAsiaTheme="minorEastAsia"/>
          <w:szCs w:val="20"/>
          <w:lang w:val="en-US" w:eastAsia="ko-KR"/>
        </w:rPr>
      </w:pPr>
      <w:r>
        <w:rPr>
          <w:rFonts w:eastAsiaTheme="minorEastAsia" w:hint="eastAsia"/>
          <w:szCs w:val="20"/>
          <w:lang w:val="en-US" w:eastAsia="ko-KR"/>
        </w:rPr>
        <w:t xml:space="preserve">In general, we consider Option A has a few drawbacks as the followings. </w:t>
      </w:r>
    </w:p>
    <w:p w:rsidR="00E41478" w:rsidRDefault="00E41478" w:rsidP="00E41478">
      <w:pPr>
        <w:pStyle w:val="af1"/>
        <w:numPr>
          <w:ilvl w:val="0"/>
          <w:numId w:val="32"/>
        </w:numPr>
        <w:rPr>
          <w:rFonts w:eastAsiaTheme="minorEastAsia"/>
          <w:lang w:val="en-US" w:eastAsia="ko-KR"/>
        </w:rPr>
      </w:pPr>
      <w:r>
        <w:rPr>
          <w:rFonts w:eastAsiaTheme="minorEastAsia" w:hint="eastAsia"/>
          <w:lang w:val="en-US" w:eastAsia="ko-KR"/>
        </w:rPr>
        <w:t xml:space="preserve">If SI update, ETWS </w:t>
      </w:r>
      <w:r>
        <w:rPr>
          <w:rFonts w:eastAsiaTheme="minorEastAsia"/>
          <w:lang w:val="en-US" w:eastAsia="ko-KR"/>
        </w:rPr>
        <w:t>indication</w:t>
      </w:r>
      <w:r>
        <w:rPr>
          <w:rFonts w:eastAsiaTheme="minorEastAsia" w:hint="eastAsia"/>
          <w:lang w:val="en-US" w:eastAsia="ko-KR"/>
        </w:rPr>
        <w:t xml:space="preserve"> and CMAS indication are always included in </w:t>
      </w:r>
      <w:r>
        <w:rPr>
          <w:rFonts w:eastAsiaTheme="minorEastAsia"/>
          <w:lang w:val="en-US" w:eastAsia="ko-KR"/>
        </w:rPr>
        <w:t>scheduling</w:t>
      </w:r>
      <w:r>
        <w:rPr>
          <w:rFonts w:eastAsiaTheme="minorEastAsia" w:hint="eastAsia"/>
          <w:lang w:val="en-US" w:eastAsia="ko-KR"/>
        </w:rPr>
        <w:t xml:space="preserve"> DCI</w:t>
      </w:r>
      <w:r w:rsidR="003529AF" w:rsidRPr="003529AF">
        <w:rPr>
          <w:rFonts w:eastAsiaTheme="minorEastAsia" w:hint="eastAsia"/>
          <w:lang w:val="en-US" w:eastAsia="ko-KR"/>
        </w:rPr>
        <w:t xml:space="preserve"> </w:t>
      </w:r>
      <w:r w:rsidR="003529AF">
        <w:rPr>
          <w:rFonts w:eastAsiaTheme="minorEastAsia" w:hint="eastAsia"/>
          <w:lang w:val="en-US" w:eastAsia="ko-KR"/>
        </w:rPr>
        <w:t xml:space="preserve">for </w:t>
      </w:r>
      <w:r w:rsidR="003529AF">
        <w:rPr>
          <w:rFonts w:eastAsiaTheme="minorEastAsia" w:hint="eastAsia"/>
          <w:lang w:val="en-US" w:eastAsia="ko-KR"/>
        </w:rPr>
        <w:t>paging</w:t>
      </w:r>
      <w:r w:rsidR="003529AF">
        <w:rPr>
          <w:rFonts w:eastAsiaTheme="minorEastAsia" w:hint="eastAsia"/>
          <w:lang w:val="en-US" w:eastAsia="ko-KR"/>
        </w:rPr>
        <w:t xml:space="preserve"> transmission</w:t>
      </w:r>
      <w:r>
        <w:rPr>
          <w:rFonts w:eastAsiaTheme="minorEastAsia" w:hint="eastAsia"/>
          <w:lang w:val="en-US" w:eastAsia="ko-KR"/>
        </w:rPr>
        <w:t>, the size of DCI becomes larger. It will lead more repetition. G</w:t>
      </w:r>
      <w:r>
        <w:rPr>
          <w:rFonts w:eastAsiaTheme="minorEastAsia"/>
          <w:lang w:val="en-US" w:eastAsia="ko-KR"/>
        </w:rPr>
        <w:t>i</w:t>
      </w:r>
      <w:r>
        <w:rPr>
          <w:rFonts w:eastAsiaTheme="minorEastAsia" w:hint="eastAsia"/>
          <w:lang w:val="en-US" w:eastAsia="ko-KR"/>
        </w:rPr>
        <w:t>ven that the frequency of such indications may not be high</w:t>
      </w:r>
      <w:r w:rsidR="003529AF">
        <w:rPr>
          <w:rFonts w:eastAsiaTheme="minorEastAsia" w:hint="eastAsia"/>
          <w:lang w:val="en-US" w:eastAsia="ko-KR"/>
        </w:rPr>
        <w:t xml:space="preserve"> compared to paging</w:t>
      </w:r>
      <w:r>
        <w:rPr>
          <w:rFonts w:eastAsiaTheme="minorEastAsia" w:hint="eastAsia"/>
          <w:lang w:val="en-US" w:eastAsia="ko-KR"/>
        </w:rPr>
        <w:t xml:space="preserve">, extra overhead in every DCI seems a big burden. It is also noted that the size of DCI </w:t>
      </w:r>
      <w:r>
        <w:rPr>
          <w:rFonts w:eastAsiaTheme="minorEastAsia"/>
          <w:lang w:val="en-US" w:eastAsia="ko-KR"/>
        </w:rPr>
        <w:t>scheduling</w:t>
      </w:r>
      <w:r>
        <w:rPr>
          <w:rFonts w:eastAsiaTheme="minorEastAsia" w:hint="eastAsia"/>
          <w:lang w:val="en-US" w:eastAsia="ko-KR"/>
        </w:rPr>
        <w:t xml:space="preserve"> paging </w:t>
      </w:r>
      <w:r w:rsidR="003529AF">
        <w:rPr>
          <w:rFonts w:eastAsiaTheme="minorEastAsia" w:hint="eastAsia"/>
          <w:lang w:val="en-US" w:eastAsia="ko-KR"/>
        </w:rPr>
        <w:t xml:space="preserve">message </w:t>
      </w:r>
      <w:r>
        <w:rPr>
          <w:rFonts w:eastAsiaTheme="minorEastAsia" w:hint="eastAsia"/>
          <w:lang w:val="en-US" w:eastAsia="ko-KR"/>
        </w:rPr>
        <w:t xml:space="preserve">should be very small, otherwise the overall repetition </w:t>
      </w:r>
      <w:r>
        <w:rPr>
          <w:rFonts w:eastAsiaTheme="minorEastAsia"/>
          <w:lang w:val="en-US" w:eastAsia="ko-KR"/>
        </w:rPr>
        <w:t>number</w:t>
      </w:r>
      <w:r>
        <w:rPr>
          <w:rFonts w:eastAsiaTheme="minorEastAsia" w:hint="eastAsia"/>
          <w:lang w:val="en-US" w:eastAsia="ko-KR"/>
        </w:rPr>
        <w:t xml:space="preserve"> can be very high and become very ineffective. Thus, the extra overhead of such addition is not desirable. If such indications are included only when there are indications, a UE has to monitor potentially two different DCI sizes which should be avoided to minimize the complexity.</w:t>
      </w:r>
    </w:p>
    <w:p w:rsidR="00E41478" w:rsidRDefault="00E41478" w:rsidP="003529AF">
      <w:pPr>
        <w:jc w:val="both"/>
        <w:rPr>
          <w:rFonts w:eastAsiaTheme="minorEastAsia"/>
          <w:lang w:val="en-US" w:eastAsia="ko-KR"/>
        </w:rPr>
      </w:pPr>
      <w:r>
        <w:rPr>
          <w:rFonts w:eastAsiaTheme="minorEastAsia" w:hint="eastAsia"/>
          <w:lang w:val="en-US" w:eastAsia="ko-KR"/>
        </w:rPr>
        <w:t>W</w:t>
      </w:r>
      <w:r>
        <w:rPr>
          <w:rFonts w:eastAsiaTheme="minorEastAsia"/>
          <w:lang w:val="en-US" w:eastAsia="ko-KR"/>
        </w:rPr>
        <w:t>i</w:t>
      </w:r>
      <w:r>
        <w:rPr>
          <w:rFonts w:eastAsiaTheme="minorEastAsia" w:hint="eastAsia"/>
          <w:lang w:val="en-US" w:eastAsia="ko-KR"/>
        </w:rPr>
        <w:t>th O</w:t>
      </w:r>
      <w:r>
        <w:rPr>
          <w:rFonts w:eastAsiaTheme="minorEastAsia"/>
          <w:lang w:val="en-US" w:eastAsia="ko-KR"/>
        </w:rPr>
        <w:t>p</w:t>
      </w:r>
      <w:r>
        <w:rPr>
          <w:rFonts w:eastAsiaTheme="minorEastAsia" w:hint="eastAsia"/>
          <w:lang w:val="en-US" w:eastAsia="ko-KR"/>
        </w:rPr>
        <w:t xml:space="preserve">tion B, it is still possible to transmit SI update, ETWS and CMAS indication </w:t>
      </w:r>
      <w:r>
        <w:rPr>
          <w:rFonts w:eastAsiaTheme="minorEastAsia"/>
          <w:lang w:val="en-US" w:eastAsia="ko-KR"/>
        </w:rPr>
        <w:t>without</w:t>
      </w:r>
      <w:r>
        <w:rPr>
          <w:rFonts w:eastAsiaTheme="minorEastAsia" w:hint="eastAsia"/>
          <w:lang w:val="en-US" w:eastAsia="ko-KR"/>
        </w:rPr>
        <w:t xml:space="preserve"> any paging record. In such cases, TBS of PDSCH would be very small as it does not contain any paging record. Thus, the repetition number of PDSCH can be very small and thus the overall power consumption between </w:t>
      </w:r>
      <w:r>
        <w:rPr>
          <w:rFonts w:eastAsiaTheme="minorEastAsia" w:hint="eastAsia"/>
          <w:lang w:val="en-US" w:eastAsia="ko-KR"/>
        </w:rPr>
        <w:lastRenderedPageBreak/>
        <w:t xml:space="preserve">Option A and Option B is not noticeable. For example, if a UE has paging records in a paging </w:t>
      </w:r>
      <w:r>
        <w:rPr>
          <w:rFonts w:eastAsiaTheme="minorEastAsia"/>
          <w:lang w:val="en-US" w:eastAsia="ko-KR"/>
        </w:rPr>
        <w:t>occasion</w:t>
      </w:r>
      <w:r>
        <w:rPr>
          <w:rFonts w:eastAsiaTheme="minorEastAsia" w:hint="eastAsia"/>
          <w:lang w:val="en-US" w:eastAsia="ko-KR"/>
        </w:rPr>
        <w:t xml:space="preserve">, Option A and Option B would be the same from the UE power consumption perspective. </w:t>
      </w:r>
      <w:r w:rsidR="00A612D9">
        <w:rPr>
          <w:rFonts w:eastAsiaTheme="minorEastAsia" w:hint="eastAsia"/>
          <w:lang w:val="en-US" w:eastAsia="ko-KR"/>
        </w:rPr>
        <w:t xml:space="preserve">When a UE has no paging record in a paging </w:t>
      </w:r>
      <w:r w:rsidR="00A612D9">
        <w:rPr>
          <w:rFonts w:eastAsiaTheme="minorEastAsia"/>
          <w:lang w:val="en-US" w:eastAsia="ko-KR"/>
        </w:rPr>
        <w:t>occasion</w:t>
      </w:r>
      <w:r w:rsidR="00A612D9">
        <w:rPr>
          <w:rFonts w:eastAsiaTheme="minorEastAsia" w:hint="eastAsia"/>
          <w:lang w:val="en-US" w:eastAsia="ko-KR"/>
        </w:rPr>
        <w:t xml:space="preserve">, since the repetition number of PDSCH can be very small with Option B, yet, the power consumption difference between A and B is very small. </w:t>
      </w:r>
    </w:p>
    <w:p w:rsidR="00A612D9" w:rsidRDefault="00A612D9" w:rsidP="003529AF">
      <w:pPr>
        <w:jc w:val="both"/>
        <w:rPr>
          <w:rFonts w:eastAsiaTheme="minorEastAsia"/>
          <w:lang w:val="en-US" w:eastAsia="ko-KR"/>
        </w:rPr>
      </w:pPr>
    </w:p>
    <w:p w:rsidR="00A612D9" w:rsidRDefault="00A612D9" w:rsidP="003529AF">
      <w:pPr>
        <w:jc w:val="both"/>
        <w:rPr>
          <w:rFonts w:eastAsiaTheme="minorEastAsia"/>
          <w:lang w:val="en-US" w:eastAsia="ko-KR"/>
        </w:rPr>
      </w:pPr>
      <w:r>
        <w:rPr>
          <w:rFonts w:eastAsiaTheme="minorEastAsia" w:hint="eastAsia"/>
          <w:lang w:val="en-US" w:eastAsia="ko-KR"/>
        </w:rPr>
        <w:t xml:space="preserve">Option A may lead potential benefits only when separate paging </w:t>
      </w:r>
      <w:r>
        <w:rPr>
          <w:rFonts w:eastAsiaTheme="minorEastAsia"/>
          <w:lang w:val="en-US" w:eastAsia="ko-KR"/>
        </w:rPr>
        <w:t>occasion</w:t>
      </w:r>
      <w:r>
        <w:rPr>
          <w:rFonts w:eastAsiaTheme="minorEastAsia" w:hint="eastAsia"/>
          <w:lang w:val="en-US" w:eastAsia="ko-KR"/>
        </w:rPr>
        <w:t xml:space="preserve">s are configured for SI update and paging. It does however increase UE power consumption to monitor multiple paging </w:t>
      </w:r>
      <w:r>
        <w:rPr>
          <w:rFonts w:eastAsiaTheme="minorEastAsia"/>
          <w:lang w:val="en-US" w:eastAsia="ko-KR"/>
        </w:rPr>
        <w:t>occasions</w:t>
      </w:r>
      <w:r w:rsidR="003529AF">
        <w:rPr>
          <w:rFonts w:eastAsiaTheme="minorEastAsia" w:hint="eastAsia"/>
          <w:lang w:val="en-US" w:eastAsia="ko-KR"/>
        </w:rPr>
        <w:t xml:space="preserve">, which is not desirable for a low cost UE requiring low battery power </w:t>
      </w:r>
      <w:r w:rsidR="003529AF">
        <w:rPr>
          <w:rFonts w:eastAsiaTheme="minorEastAsia"/>
          <w:lang w:val="en-US" w:eastAsia="ko-KR"/>
        </w:rPr>
        <w:t>consumption</w:t>
      </w:r>
      <w:r>
        <w:rPr>
          <w:rFonts w:eastAsiaTheme="minorEastAsia" w:hint="eastAsia"/>
          <w:lang w:val="en-US" w:eastAsia="ko-KR"/>
        </w:rPr>
        <w:t xml:space="preserve">. </w:t>
      </w:r>
    </w:p>
    <w:p w:rsidR="00A612D9" w:rsidRDefault="00A612D9" w:rsidP="003529AF">
      <w:pPr>
        <w:jc w:val="both"/>
        <w:rPr>
          <w:rFonts w:eastAsiaTheme="minorEastAsia"/>
          <w:lang w:val="en-US" w:eastAsia="ko-KR"/>
        </w:rPr>
      </w:pPr>
    </w:p>
    <w:p w:rsidR="00A612D9" w:rsidRDefault="00A612D9" w:rsidP="003529AF">
      <w:pPr>
        <w:jc w:val="both"/>
        <w:rPr>
          <w:rFonts w:eastAsiaTheme="minorEastAsia"/>
          <w:lang w:val="en-US" w:eastAsia="ko-KR"/>
        </w:rPr>
      </w:pPr>
      <w:r>
        <w:rPr>
          <w:rFonts w:eastAsiaTheme="minorEastAsia" w:hint="eastAsia"/>
          <w:lang w:val="en-US" w:eastAsia="ko-KR"/>
        </w:rPr>
        <w:t xml:space="preserve">Overall, we consider Option B is sufficient, and the following captures our proposals. </w:t>
      </w:r>
    </w:p>
    <w:p w:rsidR="00A612D9" w:rsidRDefault="00A612D9" w:rsidP="003529AF">
      <w:pPr>
        <w:jc w:val="both"/>
        <w:rPr>
          <w:rFonts w:eastAsiaTheme="minorEastAsia"/>
          <w:lang w:val="en-US" w:eastAsia="ko-KR"/>
        </w:rPr>
      </w:pPr>
    </w:p>
    <w:p w:rsidR="00A612D9" w:rsidRPr="00733164" w:rsidRDefault="00A612D9" w:rsidP="003529AF">
      <w:pPr>
        <w:jc w:val="both"/>
        <w:rPr>
          <w:rFonts w:eastAsiaTheme="minorEastAsia"/>
          <w:b/>
          <w:i/>
          <w:lang w:val="en-US" w:eastAsia="ko-KR"/>
        </w:rPr>
      </w:pPr>
      <w:r w:rsidRPr="00733164">
        <w:rPr>
          <w:rFonts w:eastAsiaTheme="minorEastAsia" w:hint="eastAsia"/>
          <w:b/>
          <w:i/>
          <w:lang w:val="en-US" w:eastAsia="ko-KR"/>
        </w:rPr>
        <w:t xml:space="preserve">Proposal 1: SI update, ETWS indication and/or CMAS indication are transmitted in PDSCH. </w:t>
      </w:r>
    </w:p>
    <w:p w:rsidR="00A612D9" w:rsidRPr="00733164" w:rsidRDefault="00A612D9" w:rsidP="003529AF">
      <w:pPr>
        <w:jc w:val="both"/>
        <w:rPr>
          <w:rFonts w:eastAsiaTheme="minorEastAsia"/>
          <w:b/>
          <w:i/>
          <w:lang w:val="en-US" w:eastAsia="ko-KR"/>
        </w:rPr>
      </w:pPr>
    </w:p>
    <w:p w:rsidR="00A612D9" w:rsidRPr="00733164" w:rsidRDefault="00A612D9" w:rsidP="003529AF">
      <w:pPr>
        <w:jc w:val="both"/>
        <w:rPr>
          <w:rFonts w:eastAsiaTheme="minorEastAsia"/>
          <w:b/>
          <w:i/>
          <w:lang w:val="en-US" w:eastAsia="ko-KR"/>
        </w:rPr>
      </w:pPr>
      <w:r w:rsidRPr="00733164">
        <w:rPr>
          <w:rFonts w:eastAsiaTheme="minorEastAsia" w:hint="eastAsia"/>
          <w:b/>
          <w:i/>
          <w:lang w:val="en-US" w:eastAsia="ko-KR"/>
        </w:rPr>
        <w:t xml:space="preserve">Proposal 2: SI update, ETWS and/or CMAS are indicated to a UE via UE paging </w:t>
      </w:r>
      <w:r w:rsidRPr="00733164">
        <w:rPr>
          <w:rFonts w:eastAsiaTheme="minorEastAsia"/>
          <w:b/>
          <w:i/>
          <w:lang w:val="en-US" w:eastAsia="ko-KR"/>
        </w:rPr>
        <w:t>occasion</w:t>
      </w:r>
      <w:r w:rsidRPr="00733164">
        <w:rPr>
          <w:rFonts w:eastAsiaTheme="minorEastAsia" w:hint="eastAsia"/>
          <w:b/>
          <w:i/>
          <w:lang w:val="en-US" w:eastAsia="ko-KR"/>
        </w:rPr>
        <w:t xml:space="preserve">. </w:t>
      </w:r>
    </w:p>
    <w:p w:rsidR="00A612D9" w:rsidRPr="00A612D9" w:rsidRDefault="00A612D9" w:rsidP="00E41478">
      <w:pPr>
        <w:rPr>
          <w:rFonts w:eastAsiaTheme="minorEastAsia"/>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D81DB3" w:rsidRDefault="003529AF" w:rsidP="00D81DB3">
      <w:pPr>
        <w:rPr>
          <w:rFonts w:hint="eastAsia"/>
          <w:lang w:eastAsia="ko-KR"/>
        </w:rPr>
      </w:pPr>
      <w:r>
        <w:rPr>
          <w:rFonts w:hint="eastAsia"/>
          <w:lang w:eastAsia="ko-KR"/>
        </w:rPr>
        <w:t xml:space="preserve">The following captures our proposals. </w:t>
      </w:r>
    </w:p>
    <w:p w:rsidR="003529AF" w:rsidRDefault="003529AF" w:rsidP="00D81DB3">
      <w:pPr>
        <w:rPr>
          <w:lang w:eastAsia="ko-KR"/>
        </w:rPr>
      </w:pPr>
      <w:bookmarkStart w:id="0" w:name="_GoBack"/>
      <w:bookmarkEnd w:id="0"/>
    </w:p>
    <w:p w:rsidR="00733164" w:rsidRPr="00733164" w:rsidRDefault="00733164" w:rsidP="00733164">
      <w:pPr>
        <w:rPr>
          <w:rFonts w:eastAsiaTheme="minorEastAsia"/>
          <w:b/>
          <w:i/>
          <w:lang w:val="en-US" w:eastAsia="ko-KR"/>
        </w:rPr>
      </w:pPr>
      <w:r w:rsidRPr="00733164">
        <w:rPr>
          <w:rFonts w:eastAsiaTheme="minorEastAsia" w:hint="eastAsia"/>
          <w:b/>
          <w:i/>
          <w:lang w:val="en-US" w:eastAsia="ko-KR"/>
        </w:rPr>
        <w:t xml:space="preserve">Proposal 1: SI update, ETWS indication and/or CMAS indication are transmitted in PDSCH. </w:t>
      </w:r>
    </w:p>
    <w:p w:rsidR="00733164" w:rsidRPr="00733164" w:rsidRDefault="00733164" w:rsidP="00733164">
      <w:pPr>
        <w:rPr>
          <w:rFonts w:eastAsiaTheme="minorEastAsia"/>
          <w:b/>
          <w:i/>
          <w:lang w:val="en-US" w:eastAsia="ko-KR"/>
        </w:rPr>
      </w:pPr>
    </w:p>
    <w:p w:rsidR="00733164" w:rsidRPr="00733164" w:rsidRDefault="00733164" w:rsidP="00733164">
      <w:pPr>
        <w:rPr>
          <w:rFonts w:eastAsiaTheme="minorEastAsia"/>
          <w:b/>
          <w:i/>
          <w:lang w:val="en-US" w:eastAsia="ko-KR"/>
        </w:rPr>
      </w:pPr>
      <w:r w:rsidRPr="00733164">
        <w:rPr>
          <w:rFonts w:eastAsiaTheme="minorEastAsia" w:hint="eastAsia"/>
          <w:b/>
          <w:i/>
          <w:lang w:val="en-US" w:eastAsia="ko-KR"/>
        </w:rPr>
        <w:t xml:space="preserve">Proposal 2: SI update, ETWS and/or CMAS are indicated to a UE via UE paging </w:t>
      </w:r>
      <w:r w:rsidRPr="00733164">
        <w:rPr>
          <w:rFonts w:eastAsiaTheme="minorEastAsia"/>
          <w:b/>
          <w:i/>
          <w:lang w:val="en-US" w:eastAsia="ko-KR"/>
        </w:rPr>
        <w:t>occasion</w:t>
      </w:r>
      <w:r w:rsidRPr="00733164">
        <w:rPr>
          <w:rFonts w:eastAsiaTheme="minorEastAsia" w:hint="eastAsia"/>
          <w:b/>
          <w:i/>
          <w:lang w:val="en-US" w:eastAsia="ko-KR"/>
        </w:rPr>
        <w:t xml:space="preserve">. </w:t>
      </w:r>
    </w:p>
    <w:p w:rsidR="00F3043B" w:rsidRPr="00733164" w:rsidRDefault="00F3043B" w:rsidP="00D81DB3">
      <w:pPr>
        <w:rPr>
          <w:lang w:val="en-US"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w:t>
      </w:r>
      <w:r w:rsidR="00733164">
        <w:rPr>
          <w:rFonts w:hint="eastAsia"/>
          <w:lang w:eastAsia="ko-KR"/>
        </w:rPr>
        <w:t>1</w:t>
      </w:r>
      <w:r w:rsidR="003B3869">
        <w:rPr>
          <w:rFonts w:hint="eastAsia"/>
          <w:lang w:eastAsia="ko-KR"/>
        </w:rPr>
        <w:t>#8</w:t>
      </w:r>
      <w:r w:rsidR="00733164">
        <w:rPr>
          <w:rFonts w:hint="eastAsia"/>
          <w:lang w:eastAsia="ko-KR"/>
        </w:rPr>
        <w:t>2</w:t>
      </w:r>
      <w:r w:rsidR="003B3869">
        <w:rPr>
          <w:rFonts w:hint="eastAsia"/>
          <w:lang w:eastAsia="ko-KR"/>
        </w:rPr>
        <w:t xml:space="preserve"> Chairman</w:t>
      </w:r>
      <w:r w:rsidR="003B3869">
        <w:rPr>
          <w:lang w:eastAsia="ko-KR"/>
        </w:rPr>
        <w:t>’</w:t>
      </w:r>
      <w:r w:rsidR="003B3869">
        <w:rPr>
          <w:rFonts w:hint="eastAsia"/>
          <w:lang w:eastAsia="ko-KR"/>
        </w:rPr>
        <w:t>s note</w:t>
      </w:r>
    </w:p>
    <w:p w:rsidR="00D81DB3" w:rsidRPr="00D81DB3" w:rsidRDefault="00D81DB3" w:rsidP="002F4355">
      <w:pPr>
        <w:ind w:left="300" w:hangingChars="150" w:hanging="300"/>
        <w:rPr>
          <w:rFonts w:eastAsiaTheme="minorEastAsia"/>
          <w:lang w:eastAsia="ko-KR"/>
        </w:rPr>
      </w:pPr>
    </w:p>
    <w:sectPr w:rsidR="00D81DB3" w:rsidRPr="00D81DB3"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30F" w:rsidRDefault="009C530F" w:rsidP="00B6529D">
      <w:r>
        <w:separator/>
      </w:r>
    </w:p>
  </w:endnote>
  <w:endnote w:type="continuationSeparator" w:id="0">
    <w:p w:rsidR="009C530F" w:rsidRDefault="009C530F"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30F" w:rsidRDefault="009C530F" w:rsidP="00B6529D">
      <w:r>
        <w:separator/>
      </w:r>
    </w:p>
  </w:footnote>
  <w:footnote w:type="continuationSeparator" w:id="0">
    <w:p w:rsidR="009C530F" w:rsidRDefault="009C530F"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nsid w:val="07E17884"/>
    <w:multiLevelType w:val="hybridMultilevel"/>
    <w:tmpl w:val="110A0170"/>
    <w:lvl w:ilvl="0" w:tplc="052E1C46">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6">
    <w:nsid w:val="11D3795B"/>
    <w:multiLevelType w:val="hybridMultilevel"/>
    <w:tmpl w:val="1DC4660C"/>
    <w:lvl w:ilvl="0" w:tplc="4D7E58B8">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ED0F03"/>
    <w:multiLevelType w:val="multilevel"/>
    <w:tmpl w:val="477E2608"/>
    <w:lvl w:ilvl="0">
      <w:start w:val="1"/>
      <w:numFmt w:val="decimal"/>
      <w:pStyle w:val="1"/>
      <w:lvlText w:val="%1"/>
      <w:lvlJc w:val="left"/>
      <w:pPr>
        <w:tabs>
          <w:tab w:val="num" w:pos="574"/>
        </w:tabs>
        <w:ind w:left="574"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9">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6">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8">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603E0C"/>
    <w:multiLevelType w:val="multilevel"/>
    <w:tmpl w:val="0F3234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BAC17D7"/>
    <w:multiLevelType w:val="hybridMultilevel"/>
    <w:tmpl w:val="8362A484"/>
    <w:lvl w:ilvl="0" w:tplc="FCA83F1E">
      <w:start w:val="1"/>
      <w:numFmt w:val="bullet"/>
      <w:lvlText w:val="•"/>
      <w:lvlJc w:val="left"/>
      <w:pPr>
        <w:tabs>
          <w:tab w:val="num" w:pos="720"/>
        </w:tabs>
        <w:ind w:left="720" w:hanging="360"/>
      </w:pPr>
      <w:rPr>
        <w:rFonts w:ascii="Arial" w:hAnsi="Arial" w:hint="default"/>
      </w:rPr>
    </w:lvl>
    <w:lvl w:ilvl="1" w:tplc="D0303972">
      <w:start w:val="2314"/>
      <w:numFmt w:val="bullet"/>
      <w:lvlText w:val="–"/>
      <w:lvlJc w:val="left"/>
      <w:pPr>
        <w:tabs>
          <w:tab w:val="num" w:pos="1440"/>
        </w:tabs>
        <w:ind w:left="1440" w:hanging="360"/>
      </w:pPr>
      <w:rPr>
        <w:rFonts w:ascii="Arial" w:hAnsi="Arial" w:hint="default"/>
      </w:rPr>
    </w:lvl>
    <w:lvl w:ilvl="2" w:tplc="288E3300" w:tentative="1">
      <w:start w:val="1"/>
      <w:numFmt w:val="bullet"/>
      <w:lvlText w:val="•"/>
      <w:lvlJc w:val="left"/>
      <w:pPr>
        <w:tabs>
          <w:tab w:val="num" w:pos="2160"/>
        </w:tabs>
        <w:ind w:left="2160" w:hanging="360"/>
      </w:pPr>
      <w:rPr>
        <w:rFonts w:ascii="Arial" w:hAnsi="Arial" w:hint="default"/>
      </w:rPr>
    </w:lvl>
    <w:lvl w:ilvl="3" w:tplc="D94A8814" w:tentative="1">
      <w:start w:val="1"/>
      <w:numFmt w:val="bullet"/>
      <w:lvlText w:val="•"/>
      <w:lvlJc w:val="left"/>
      <w:pPr>
        <w:tabs>
          <w:tab w:val="num" w:pos="2880"/>
        </w:tabs>
        <w:ind w:left="2880" w:hanging="360"/>
      </w:pPr>
      <w:rPr>
        <w:rFonts w:ascii="Arial" w:hAnsi="Arial" w:hint="default"/>
      </w:rPr>
    </w:lvl>
    <w:lvl w:ilvl="4" w:tplc="F782C4CC" w:tentative="1">
      <w:start w:val="1"/>
      <w:numFmt w:val="bullet"/>
      <w:lvlText w:val="•"/>
      <w:lvlJc w:val="left"/>
      <w:pPr>
        <w:tabs>
          <w:tab w:val="num" w:pos="3600"/>
        </w:tabs>
        <w:ind w:left="3600" w:hanging="360"/>
      </w:pPr>
      <w:rPr>
        <w:rFonts w:ascii="Arial" w:hAnsi="Arial" w:hint="default"/>
      </w:rPr>
    </w:lvl>
    <w:lvl w:ilvl="5" w:tplc="4FBA23D2" w:tentative="1">
      <w:start w:val="1"/>
      <w:numFmt w:val="bullet"/>
      <w:lvlText w:val="•"/>
      <w:lvlJc w:val="left"/>
      <w:pPr>
        <w:tabs>
          <w:tab w:val="num" w:pos="4320"/>
        </w:tabs>
        <w:ind w:left="4320" w:hanging="360"/>
      </w:pPr>
      <w:rPr>
        <w:rFonts w:ascii="Arial" w:hAnsi="Arial" w:hint="default"/>
      </w:rPr>
    </w:lvl>
    <w:lvl w:ilvl="6" w:tplc="85CC6B68" w:tentative="1">
      <w:start w:val="1"/>
      <w:numFmt w:val="bullet"/>
      <w:lvlText w:val="•"/>
      <w:lvlJc w:val="left"/>
      <w:pPr>
        <w:tabs>
          <w:tab w:val="num" w:pos="5040"/>
        </w:tabs>
        <w:ind w:left="5040" w:hanging="360"/>
      </w:pPr>
      <w:rPr>
        <w:rFonts w:ascii="Arial" w:hAnsi="Arial" w:hint="default"/>
      </w:rPr>
    </w:lvl>
    <w:lvl w:ilvl="7" w:tplc="EAF41D1C" w:tentative="1">
      <w:start w:val="1"/>
      <w:numFmt w:val="bullet"/>
      <w:lvlText w:val="•"/>
      <w:lvlJc w:val="left"/>
      <w:pPr>
        <w:tabs>
          <w:tab w:val="num" w:pos="5760"/>
        </w:tabs>
        <w:ind w:left="5760" w:hanging="360"/>
      </w:pPr>
      <w:rPr>
        <w:rFonts w:ascii="Arial" w:hAnsi="Arial" w:hint="default"/>
      </w:rPr>
    </w:lvl>
    <w:lvl w:ilvl="8" w:tplc="43EC1944" w:tentative="1">
      <w:start w:val="1"/>
      <w:numFmt w:val="bullet"/>
      <w:lvlText w:val="•"/>
      <w:lvlJc w:val="left"/>
      <w:pPr>
        <w:tabs>
          <w:tab w:val="num" w:pos="6480"/>
        </w:tabs>
        <w:ind w:left="6480" w:hanging="360"/>
      </w:pPr>
      <w:rPr>
        <w:rFonts w:ascii="Arial" w:hAnsi="Arial" w:hint="default"/>
      </w:rPr>
    </w:lvl>
  </w:abstractNum>
  <w:abstractNum w:abstractNumId="22">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24">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67865ABA"/>
    <w:multiLevelType w:val="hybridMultilevel"/>
    <w:tmpl w:val="7E841CBA"/>
    <w:lvl w:ilvl="0" w:tplc="273A640C">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172751B"/>
    <w:multiLevelType w:val="hybridMultilevel"/>
    <w:tmpl w:val="BB1C906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E945A74"/>
    <w:multiLevelType w:val="hybridMultilevel"/>
    <w:tmpl w:val="A6547E24"/>
    <w:lvl w:ilvl="0" w:tplc="A8C2BDC2">
      <w:start w:val="1"/>
      <w:numFmt w:val="bullet"/>
      <w:lvlText w:val="•"/>
      <w:lvlJc w:val="left"/>
      <w:pPr>
        <w:tabs>
          <w:tab w:val="num" w:pos="720"/>
        </w:tabs>
        <w:ind w:left="720" w:hanging="360"/>
      </w:pPr>
      <w:rPr>
        <w:rFonts w:ascii="Arial" w:hAnsi="Arial" w:hint="default"/>
      </w:rPr>
    </w:lvl>
    <w:lvl w:ilvl="1" w:tplc="6B60AEB4">
      <w:start w:val="1879"/>
      <w:numFmt w:val="bullet"/>
      <w:lvlText w:val="–"/>
      <w:lvlJc w:val="left"/>
      <w:pPr>
        <w:tabs>
          <w:tab w:val="num" w:pos="1440"/>
        </w:tabs>
        <w:ind w:left="1440" w:hanging="360"/>
      </w:pPr>
      <w:rPr>
        <w:rFonts w:ascii="Arial" w:hAnsi="Arial" w:hint="default"/>
      </w:rPr>
    </w:lvl>
    <w:lvl w:ilvl="2" w:tplc="A7D4EB08">
      <w:start w:val="1879"/>
      <w:numFmt w:val="bullet"/>
      <w:lvlText w:val="•"/>
      <w:lvlJc w:val="left"/>
      <w:pPr>
        <w:tabs>
          <w:tab w:val="num" w:pos="2160"/>
        </w:tabs>
        <w:ind w:left="2160" w:hanging="360"/>
      </w:pPr>
      <w:rPr>
        <w:rFonts w:ascii="Arial" w:hAnsi="Arial" w:hint="default"/>
      </w:rPr>
    </w:lvl>
    <w:lvl w:ilvl="3" w:tplc="1F2E990C">
      <w:start w:val="1"/>
      <w:numFmt w:val="bullet"/>
      <w:lvlText w:val="•"/>
      <w:lvlJc w:val="left"/>
      <w:pPr>
        <w:tabs>
          <w:tab w:val="num" w:pos="2880"/>
        </w:tabs>
        <w:ind w:left="2880" w:hanging="360"/>
      </w:pPr>
      <w:rPr>
        <w:rFonts w:ascii="Arial" w:hAnsi="Arial" w:hint="default"/>
      </w:rPr>
    </w:lvl>
    <w:lvl w:ilvl="4" w:tplc="DA92B136" w:tentative="1">
      <w:start w:val="1"/>
      <w:numFmt w:val="bullet"/>
      <w:lvlText w:val="•"/>
      <w:lvlJc w:val="left"/>
      <w:pPr>
        <w:tabs>
          <w:tab w:val="num" w:pos="3600"/>
        </w:tabs>
        <w:ind w:left="3600" w:hanging="360"/>
      </w:pPr>
      <w:rPr>
        <w:rFonts w:ascii="Arial" w:hAnsi="Arial" w:hint="default"/>
      </w:rPr>
    </w:lvl>
    <w:lvl w:ilvl="5" w:tplc="020CFA38" w:tentative="1">
      <w:start w:val="1"/>
      <w:numFmt w:val="bullet"/>
      <w:lvlText w:val="•"/>
      <w:lvlJc w:val="left"/>
      <w:pPr>
        <w:tabs>
          <w:tab w:val="num" w:pos="4320"/>
        </w:tabs>
        <w:ind w:left="4320" w:hanging="360"/>
      </w:pPr>
      <w:rPr>
        <w:rFonts w:ascii="Arial" w:hAnsi="Arial" w:hint="default"/>
      </w:rPr>
    </w:lvl>
    <w:lvl w:ilvl="6" w:tplc="C93A44FC" w:tentative="1">
      <w:start w:val="1"/>
      <w:numFmt w:val="bullet"/>
      <w:lvlText w:val="•"/>
      <w:lvlJc w:val="left"/>
      <w:pPr>
        <w:tabs>
          <w:tab w:val="num" w:pos="5040"/>
        </w:tabs>
        <w:ind w:left="5040" w:hanging="360"/>
      </w:pPr>
      <w:rPr>
        <w:rFonts w:ascii="Arial" w:hAnsi="Arial" w:hint="default"/>
      </w:rPr>
    </w:lvl>
    <w:lvl w:ilvl="7" w:tplc="D33053DC" w:tentative="1">
      <w:start w:val="1"/>
      <w:numFmt w:val="bullet"/>
      <w:lvlText w:val="•"/>
      <w:lvlJc w:val="left"/>
      <w:pPr>
        <w:tabs>
          <w:tab w:val="num" w:pos="5760"/>
        </w:tabs>
        <w:ind w:left="5760" w:hanging="360"/>
      </w:pPr>
      <w:rPr>
        <w:rFonts w:ascii="Arial" w:hAnsi="Arial" w:hint="default"/>
      </w:rPr>
    </w:lvl>
    <w:lvl w:ilvl="8" w:tplc="7CFC4F18" w:tentative="1">
      <w:start w:val="1"/>
      <w:numFmt w:val="bullet"/>
      <w:lvlText w:val="•"/>
      <w:lvlJc w:val="left"/>
      <w:pPr>
        <w:tabs>
          <w:tab w:val="num" w:pos="6480"/>
        </w:tabs>
        <w:ind w:left="6480" w:hanging="360"/>
      </w:pPr>
      <w:rPr>
        <w:rFonts w:ascii="Arial" w:hAnsi="Arial" w:hint="default"/>
      </w:rPr>
    </w:lvl>
  </w:abstractNum>
  <w:abstractNum w:abstractNumId="3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26"/>
  </w:num>
  <w:num w:numId="3">
    <w:abstractNumId w:val="7"/>
  </w:num>
  <w:num w:numId="4">
    <w:abstractNumId w:val="0"/>
  </w:num>
  <w:num w:numId="5">
    <w:abstractNumId w:val="4"/>
  </w:num>
  <w:num w:numId="6">
    <w:abstractNumId w:val="30"/>
  </w:num>
  <w:num w:numId="7">
    <w:abstractNumId w:val="9"/>
  </w:num>
  <w:num w:numId="8">
    <w:abstractNumId w:val="10"/>
  </w:num>
  <w:num w:numId="9">
    <w:abstractNumId w:val="22"/>
  </w:num>
  <w:num w:numId="10">
    <w:abstractNumId w:val="2"/>
  </w:num>
  <w:num w:numId="11">
    <w:abstractNumId w:val="17"/>
  </w:num>
  <w:num w:numId="12">
    <w:abstractNumId w:val="8"/>
  </w:num>
  <w:num w:numId="13">
    <w:abstractNumId w:val="32"/>
  </w:num>
  <w:num w:numId="14">
    <w:abstractNumId w:val="13"/>
  </w:num>
  <w:num w:numId="15">
    <w:abstractNumId w:val="11"/>
  </w:num>
  <w:num w:numId="16">
    <w:abstractNumId w:val="12"/>
  </w:num>
  <w:num w:numId="17">
    <w:abstractNumId w:val="18"/>
  </w:num>
  <w:num w:numId="18">
    <w:abstractNumId w:val="16"/>
  </w:num>
  <w:num w:numId="19">
    <w:abstractNumId w:val="29"/>
  </w:num>
  <w:num w:numId="20">
    <w:abstractNumId w:val="19"/>
  </w:num>
  <w:num w:numId="21">
    <w:abstractNumId w:val="15"/>
  </w:num>
  <w:num w:numId="22">
    <w:abstractNumId w:val="27"/>
  </w:num>
  <w:num w:numId="23">
    <w:abstractNumId w:val="24"/>
  </w:num>
  <w:num w:numId="24">
    <w:abstractNumId w:val="20"/>
  </w:num>
  <w:num w:numId="25">
    <w:abstractNumId w:val="7"/>
  </w:num>
  <w:num w:numId="26">
    <w:abstractNumId w:val="23"/>
  </w:num>
  <w:num w:numId="27">
    <w:abstractNumId w:val="1"/>
  </w:num>
  <w:num w:numId="28">
    <w:abstractNumId w:val="3"/>
  </w:num>
  <w:num w:numId="29">
    <w:abstractNumId w:val="5"/>
  </w:num>
  <w:num w:numId="30">
    <w:abstractNumId w:val="31"/>
  </w:num>
  <w:num w:numId="31">
    <w:abstractNumId w:val="28"/>
  </w:num>
  <w:num w:numId="32">
    <w:abstractNumId w:val="6"/>
  </w:num>
  <w:num w:numId="33">
    <w:abstractNumId w:val="21"/>
  </w:num>
  <w:num w:numId="3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725"/>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87C"/>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32"/>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37C6"/>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600"/>
    <w:rsid w:val="00196720"/>
    <w:rsid w:val="001978F8"/>
    <w:rsid w:val="00197B20"/>
    <w:rsid w:val="001A0711"/>
    <w:rsid w:val="001A0927"/>
    <w:rsid w:val="001A0DB1"/>
    <w:rsid w:val="001A1E4A"/>
    <w:rsid w:val="001A209A"/>
    <w:rsid w:val="001A3700"/>
    <w:rsid w:val="001A4D26"/>
    <w:rsid w:val="001A50F4"/>
    <w:rsid w:val="001A5E4C"/>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8B1"/>
    <w:rsid w:val="001C4A65"/>
    <w:rsid w:val="001C4B76"/>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2D19"/>
    <w:rsid w:val="002032F4"/>
    <w:rsid w:val="0020450D"/>
    <w:rsid w:val="00204579"/>
    <w:rsid w:val="00204632"/>
    <w:rsid w:val="002057E5"/>
    <w:rsid w:val="002059E4"/>
    <w:rsid w:val="00207997"/>
    <w:rsid w:val="00210246"/>
    <w:rsid w:val="002107FF"/>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0E3D"/>
    <w:rsid w:val="002514E7"/>
    <w:rsid w:val="00251650"/>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71C"/>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3A6"/>
    <w:rsid w:val="002F583C"/>
    <w:rsid w:val="002F67FD"/>
    <w:rsid w:val="002F6959"/>
    <w:rsid w:val="003000D4"/>
    <w:rsid w:val="00300871"/>
    <w:rsid w:val="00301149"/>
    <w:rsid w:val="003022E4"/>
    <w:rsid w:val="003028C3"/>
    <w:rsid w:val="00303192"/>
    <w:rsid w:val="003038B2"/>
    <w:rsid w:val="00303AF2"/>
    <w:rsid w:val="00303EE4"/>
    <w:rsid w:val="00305046"/>
    <w:rsid w:val="0030545A"/>
    <w:rsid w:val="00306BF6"/>
    <w:rsid w:val="003102CE"/>
    <w:rsid w:val="00311776"/>
    <w:rsid w:val="00311E9F"/>
    <w:rsid w:val="00312761"/>
    <w:rsid w:val="00312D3D"/>
    <w:rsid w:val="0031386E"/>
    <w:rsid w:val="00313F08"/>
    <w:rsid w:val="00314678"/>
    <w:rsid w:val="003151E3"/>
    <w:rsid w:val="00315930"/>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29AF"/>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2A49"/>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181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1AA"/>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4634E"/>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67BD4"/>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150"/>
    <w:rsid w:val="004A42DC"/>
    <w:rsid w:val="004A4B7E"/>
    <w:rsid w:val="004A4C35"/>
    <w:rsid w:val="004A510B"/>
    <w:rsid w:val="004A604E"/>
    <w:rsid w:val="004A6659"/>
    <w:rsid w:val="004A7785"/>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C7501"/>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CF8"/>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986"/>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6ED5"/>
    <w:rsid w:val="005772C8"/>
    <w:rsid w:val="00580C62"/>
    <w:rsid w:val="005822A7"/>
    <w:rsid w:val="005845CE"/>
    <w:rsid w:val="0058465C"/>
    <w:rsid w:val="005904E5"/>
    <w:rsid w:val="005911C0"/>
    <w:rsid w:val="005957E9"/>
    <w:rsid w:val="005963F0"/>
    <w:rsid w:val="005979B5"/>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B7E46"/>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276A"/>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1D5E"/>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56A8C"/>
    <w:rsid w:val="00661DDB"/>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87FEA"/>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927"/>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C7BAD"/>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631"/>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164"/>
    <w:rsid w:val="007337EC"/>
    <w:rsid w:val="00733DE8"/>
    <w:rsid w:val="0073436E"/>
    <w:rsid w:val="00734B4A"/>
    <w:rsid w:val="007358C7"/>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265B"/>
    <w:rsid w:val="007552F7"/>
    <w:rsid w:val="00755DA0"/>
    <w:rsid w:val="007600C0"/>
    <w:rsid w:val="0076018A"/>
    <w:rsid w:val="007604FA"/>
    <w:rsid w:val="00760A3C"/>
    <w:rsid w:val="00761C1D"/>
    <w:rsid w:val="007648F5"/>
    <w:rsid w:val="0076492C"/>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06C8"/>
    <w:rsid w:val="007A3DF3"/>
    <w:rsid w:val="007A416A"/>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80"/>
    <w:rsid w:val="00842B9C"/>
    <w:rsid w:val="00847260"/>
    <w:rsid w:val="0084768F"/>
    <w:rsid w:val="0084770D"/>
    <w:rsid w:val="00847AF1"/>
    <w:rsid w:val="00850ABB"/>
    <w:rsid w:val="00852C1A"/>
    <w:rsid w:val="0085449A"/>
    <w:rsid w:val="00856E0A"/>
    <w:rsid w:val="00856F84"/>
    <w:rsid w:val="008570AD"/>
    <w:rsid w:val="00857EA0"/>
    <w:rsid w:val="00862A49"/>
    <w:rsid w:val="008638E2"/>
    <w:rsid w:val="00865458"/>
    <w:rsid w:val="0086556E"/>
    <w:rsid w:val="00865995"/>
    <w:rsid w:val="00866484"/>
    <w:rsid w:val="00867237"/>
    <w:rsid w:val="00871F28"/>
    <w:rsid w:val="008722B2"/>
    <w:rsid w:val="0087282E"/>
    <w:rsid w:val="00873AD3"/>
    <w:rsid w:val="00873B74"/>
    <w:rsid w:val="00873BD1"/>
    <w:rsid w:val="00874012"/>
    <w:rsid w:val="00874F0B"/>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136C"/>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269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120A"/>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A7"/>
    <w:rsid w:val="009670F4"/>
    <w:rsid w:val="0096732A"/>
    <w:rsid w:val="009700A3"/>
    <w:rsid w:val="00971A1C"/>
    <w:rsid w:val="00971D00"/>
    <w:rsid w:val="00972784"/>
    <w:rsid w:val="00973068"/>
    <w:rsid w:val="00973D5F"/>
    <w:rsid w:val="00974871"/>
    <w:rsid w:val="00975526"/>
    <w:rsid w:val="00976C01"/>
    <w:rsid w:val="00981077"/>
    <w:rsid w:val="00981F77"/>
    <w:rsid w:val="00982DEB"/>
    <w:rsid w:val="00983F69"/>
    <w:rsid w:val="009850F7"/>
    <w:rsid w:val="009857D1"/>
    <w:rsid w:val="00986A7D"/>
    <w:rsid w:val="0098715A"/>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30F"/>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1AD4"/>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1840"/>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C0D"/>
    <w:rsid w:val="00A47D66"/>
    <w:rsid w:val="00A50175"/>
    <w:rsid w:val="00A50AA9"/>
    <w:rsid w:val="00A517E8"/>
    <w:rsid w:val="00A51E93"/>
    <w:rsid w:val="00A52E03"/>
    <w:rsid w:val="00A55F10"/>
    <w:rsid w:val="00A56CF1"/>
    <w:rsid w:val="00A5701B"/>
    <w:rsid w:val="00A57B7A"/>
    <w:rsid w:val="00A60961"/>
    <w:rsid w:val="00A61246"/>
    <w:rsid w:val="00A612D9"/>
    <w:rsid w:val="00A64B04"/>
    <w:rsid w:val="00A64E17"/>
    <w:rsid w:val="00A661E9"/>
    <w:rsid w:val="00A66397"/>
    <w:rsid w:val="00A678EB"/>
    <w:rsid w:val="00A70248"/>
    <w:rsid w:val="00A70793"/>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42BB"/>
    <w:rsid w:val="00A95900"/>
    <w:rsid w:val="00A96103"/>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17BC"/>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2792"/>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05A"/>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47BD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3FFF"/>
    <w:rsid w:val="00B8422D"/>
    <w:rsid w:val="00B84CCB"/>
    <w:rsid w:val="00B84D18"/>
    <w:rsid w:val="00B852D6"/>
    <w:rsid w:val="00B87090"/>
    <w:rsid w:val="00B90736"/>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A7D39"/>
    <w:rsid w:val="00BB0964"/>
    <w:rsid w:val="00BB0D8A"/>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5DA2"/>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6B4D"/>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0DE4"/>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1DB3"/>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08A5"/>
    <w:rsid w:val="00DA331A"/>
    <w:rsid w:val="00DA5026"/>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8B8"/>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47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3F4D"/>
    <w:rsid w:val="00F2536E"/>
    <w:rsid w:val="00F25B88"/>
    <w:rsid w:val="00F2625F"/>
    <w:rsid w:val="00F2641A"/>
    <w:rsid w:val="00F272E9"/>
    <w:rsid w:val="00F273D3"/>
    <w:rsid w:val="00F303F9"/>
    <w:rsid w:val="00F3043B"/>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968B4"/>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3929">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9C769-530C-49C3-88EE-1A79545F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2</Pages>
  <Words>582</Words>
  <Characters>3318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cp:lastModifiedBy>
  <cp:revision>3</cp:revision>
  <cp:lastPrinted>2013-03-13T01:59:00Z</cp:lastPrinted>
  <dcterms:created xsi:type="dcterms:W3CDTF">2015-09-26T00:20:00Z</dcterms:created>
  <dcterms:modified xsi:type="dcterms:W3CDTF">2015-09-26T00:24:00Z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